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292" w:rsidRDefault="00E3020F">
      <w:pPr>
        <w:autoSpaceDE w:val="0"/>
        <w:autoSpaceDN w:val="0"/>
        <w:adjustRightInd w:val="0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关于修订</w:t>
      </w:r>
      <w:r>
        <w:rPr>
          <w:rFonts w:ascii="仿宋_GB2312" w:eastAsia="仿宋_GB2312"/>
          <w:b/>
          <w:sz w:val="32"/>
          <w:szCs w:val="32"/>
        </w:rPr>
        <w:t>SZJG 54-2017</w:t>
      </w:r>
      <w:r>
        <w:rPr>
          <w:rFonts w:ascii="仿宋_GB2312" w:eastAsia="仿宋_GB2312" w:hint="eastAsia"/>
          <w:b/>
          <w:sz w:val="32"/>
          <w:szCs w:val="32"/>
        </w:rPr>
        <w:t>《低挥发性有机物含量涂料技术规范》强制性特区环保地方标准的调研问卷</w:t>
      </w:r>
    </w:p>
    <w:p w:rsidR="00311292" w:rsidRDefault="00311292">
      <w:pPr>
        <w:spacing w:line="276" w:lineRule="auto"/>
        <w:ind w:firstLineChars="200" w:firstLine="420"/>
        <w:rPr>
          <w:rFonts w:ascii="仿宋_GB2312" w:eastAsia="仿宋_GB2312"/>
        </w:rPr>
      </w:pPr>
    </w:p>
    <w:p w:rsidR="00311292" w:rsidRDefault="00E3020F">
      <w:pPr>
        <w:spacing w:line="276" w:lineRule="auto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大气环境保护事关人民群众根本利益，事关全面建成小康社会，事关经济高质量发展和美丽中国建设。《深圳率先打造美丽中国典范行动方案(2020-2025年)》指出“健全生态环境地方标准体系。探索制定与社会经济发展水平相适应的生态环境地方标准，打造一流的特区生态环境标准体系。深入开展产品环保强制性地方标准调研论证，探索完善构建产品环保强制性地方标准，增强深圳产品环保质量优势。”我院现受深圳市生态环境局的委托，修订《低挥发性有机物含量涂料技术规范》特区技术规范。</w:t>
      </w:r>
    </w:p>
    <w:p w:rsidR="00311292" w:rsidRDefault="00E3020F">
      <w:pPr>
        <w:autoSpaceDE w:val="0"/>
        <w:autoSpaceDN w:val="0"/>
        <w:adjustRightInd w:val="0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为进一步提高该特区规范的针对性、可行性和科学性，使该特区规范的产品类别、检测方法、应用领域等方面更加匹配目前的生产和使用情况，现对标准相关的意见和建议进行调研收集，感谢贵单位的支持与配合！</w:t>
      </w:r>
    </w:p>
    <w:p w:rsidR="00311292" w:rsidRDefault="00311292">
      <w:pPr>
        <w:autoSpaceDE w:val="0"/>
        <w:autoSpaceDN w:val="0"/>
        <w:adjustRightInd w:val="0"/>
        <w:rPr>
          <w:rFonts w:ascii="仿宋_GB2312" w:eastAsia="仿宋_GB2312"/>
        </w:rPr>
      </w:pPr>
    </w:p>
    <w:p w:rsidR="00311292" w:rsidRDefault="00E3020F">
      <w:pPr>
        <w:spacing w:line="276" w:lineRule="auto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</w:rPr>
        <w:t>调研问卷问题</w:t>
      </w:r>
    </w:p>
    <w:p w:rsidR="00311292" w:rsidRDefault="00E3020F">
      <w:pPr>
        <w:autoSpaceDE w:val="0"/>
        <w:autoSpaceDN w:val="0"/>
        <w:adjustRightInd w:val="0"/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对现行</w:t>
      </w:r>
      <w:r>
        <w:rPr>
          <w:rFonts w:ascii="仿宋_GB2312" w:eastAsia="仿宋_GB2312"/>
        </w:rPr>
        <w:t>SZJG 54-2017</w:t>
      </w:r>
      <w:r>
        <w:rPr>
          <w:rFonts w:ascii="仿宋_GB2312" w:eastAsia="仿宋_GB2312" w:hint="eastAsia"/>
        </w:rPr>
        <w:t>标准适用范围的修订建议。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2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对挥发性有机化合物（VOC）定义的修订建议。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3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对涂料分类的修订建议。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4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对有害物质项目的增减和限值的修订建议（若引用国内外标准，请附上来源）。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5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对禁用物质设定的建议（若引用国内外标准，请附上来源）。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6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对检测方法的修订建议。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7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不同种类涂料（参考</w:t>
      </w:r>
      <w:r>
        <w:rPr>
          <w:rFonts w:ascii="仿宋_GB2312" w:eastAsia="仿宋_GB2312"/>
        </w:rPr>
        <w:t>SZJG 54-2017</w:t>
      </w:r>
      <w:r>
        <w:rPr>
          <w:rFonts w:ascii="仿宋_GB2312" w:eastAsia="仿宋_GB2312" w:hint="eastAsia"/>
        </w:rPr>
        <w:t>产品分类）的VOC含量的大致范围（仅生产企业填写）。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8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低VOC化、水性化涂料的技术瓶颈。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9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对特殊应用场景的涂料的豁免建议（从使用量较小、性能要求高等角度考虑）</w:t>
      </w:r>
    </w:p>
    <w:p w:rsidR="00311292" w:rsidRDefault="00E3020F">
      <w:pPr>
        <w:autoSpaceDE w:val="0"/>
        <w:autoSpaceDN w:val="0"/>
        <w:adjustRightInd w:val="0"/>
        <w:jc w:val="left"/>
        <w:rPr>
          <w:rFonts w:ascii="仿宋_GB2312" w:eastAsia="仿宋_GB2312"/>
        </w:rPr>
      </w:pPr>
      <w:r>
        <w:rPr>
          <w:rFonts w:ascii="仿宋_GB2312" w:eastAsia="仿宋_GB2312"/>
        </w:rPr>
        <w:t>10.</w:t>
      </w:r>
      <w:r>
        <w:rPr>
          <w:rFonts w:ascii="仿宋_GB2312" w:eastAsia="仿宋_GB2312" w:hint="eastAsia"/>
        </w:rPr>
        <w:t>工业涂料相关现行环保强制性国家标准（例如</w:t>
      </w:r>
      <w:r>
        <w:rPr>
          <w:rFonts w:ascii="仿宋_GB2312" w:eastAsia="仿宋_GB2312"/>
        </w:rPr>
        <w:t>GB 30981-2020</w:t>
      </w:r>
      <w:r>
        <w:rPr>
          <w:rFonts w:ascii="仿宋_GB2312" w:eastAsia="仿宋_GB2312" w:hint="eastAsia"/>
        </w:rPr>
        <w:t>等）的意见及建议（分类、检测方法、限值等），并说明原因。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>
        <w:rPr>
          <w:rFonts w:ascii="仿宋_GB2312" w:eastAsia="仿宋_GB2312"/>
        </w:rPr>
        <w:t>1.</w:t>
      </w:r>
      <w:r>
        <w:rPr>
          <w:rFonts w:ascii="仿宋_GB2312" w:eastAsia="仿宋_GB2312" w:hint="eastAsia"/>
        </w:rPr>
        <w:t>可参考的现行欧美等发达国家的环保标准的推荐。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>
        <w:rPr>
          <w:rFonts w:ascii="仿宋_GB2312" w:eastAsia="仿宋_GB2312"/>
        </w:rPr>
        <w:t>2.</w:t>
      </w:r>
      <w:r>
        <w:rPr>
          <w:rFonts w:ascii="仿宋_GB2312" w:eastAsia="仿宋_GB2312" w:hint="eastAsia"/>
        </w:rPr>
        <w:t>可参考的知名企业环保要求的推荐。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>
        <w:rPr>
          <w:rFonts w:ascii="仿宋_GB2312" w:eastAsia="仿宋_GB2312"/>
        </w:rPr>
        <w:t>3.</w:t>
      </w:r>
      <w:r>
        <w:rPr>
          <w:rFonts w:ascii="仿宋_GB2312" w:eastAsia="仿宋_GB2312" w:hint="eastAsia"/>
        </w:rPr>
        <w:t>基于新污染物治理的要求，本标准技术角度如何设定支持。</w:t>
      </w:r>
    </w:p>
    <w:p w:rsidR="00311292" w:rsidRDefault="00E3020F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>
        <w:rPr>
          <w:rFonts w:ascii="仿宋_GB2312" w:eastAsia="仿宋_GB2312"/>
        </w:rPr>
        <w:t>4.</w:t>
      </w:r>
      <w:r>
        <w:rPr>
          <w:rFonts w:ascii="仿宋_GB2312" w:eastAsia="仿宋_GB2312" w:hint="eastAsia"/>
        </w:rPr>
        <w:t>对标准的修订的其它意见及建议。</w:t>
      </w:r>
    </w:p>
    <w:p w:rsidR="00311292" w:rsidRPr="004352F6" w:rsidRDefault="00B72D25" w:rsidP="001C30D1">
      <w:pPr>
        <w:autoSpaceDE w:val="0"/>
        <w:autoSpaceDN w:val="0"/>
        <w:adjustRightInd w:val="0"/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>
        <w:rPr>
          <w:rFonts w:ascii="仿宋_GB2312" w:eastAsia="仿宋_GB2312"/>
        </w:rPr>
        <w:t>5.</w:t>
      </w:r>
      <w:r>
        <w:rPr>
          <w:rFonts w:ascii="仿宋_GB2312" w:eastAsia="仿宋_GB2312" w:hint="eastAsia"/>
        </w:rPr>
        <w:t>是否有意向参编</w:t>
      </w:r>
      <w:r w:rsidR="001C30D1">
        <w:rPr>
          <w:rFonts w:ascii="仿宋_GB2312" w:eastAsia="仿宋_GB2312" w:hint="eastAsia"/>
        </w:rPr>
        <w:t>，</w:t>
      </w:r>
      <w:proofErr w:type="gramStart"/>
      <w:r w:rsidR="001C30D1">
        <w:rPr>
          <w:rFonts w:ascii="仿宋_GB2312" w:eastAsia="仿宋_GB2312" w:hint="eastAsia"/>
        </w:rPr>
        <w:t>若参编可提供</w:t>
      </w:r>
      <w:proofErr w:type="gramEnd"/>
      <w:r w:rsidR="001C30D1">
        <w:rPr>
          <w:rFonts w:ascii="仿宋_GB2312" w:eastAsia="仿宋_GB2312" w:hint="eastAsia"/>
        </w:rPr>
        <w:t>，</w:t>
      </w:r>
      <w:r w:rsidR="00163EA4">
        <w:rPr>
          <w:rFonts w:ascii="仿宋_GB2312" w:eastAsia="仿宋_GB2312" w:hint="eastAsia"/>
        </w:rPr>
        <w:t>可</w:t>
      </w:r>
      <w:r w:rsidR="001C30D1" w:rsidRPr="001C30D1">
        <w:rPr>
          <w:rFonts w:ascii="仿宋_GB2312" w:eastAsia="仿宋_GB2312" w:hint="eastAsia"/>
        </w:rPr>
        <w:t>为标准编写提供的各项支持内容及明细（可在技术、测试、实验设备、资金等方面）</w:t>
      </w:r>
      <w:r>
        <w:rPr>
          <w:rFonts w:ascii="仿宋_GB2312" w:eastAsia="仿宋_GB2312" w:hint="eastAsia"/>
        </w:rPr>
        <w:t>。</w:t>
      </w:r>
    </w:p>
    <w:p w:rsidR="00311292" w:rsidRDefault="00E3020F">
      <w:pPr>
        <w:autoSpaceDE w:val="0"/>
        <w:autoSpaceDN w:val="0"/>
        <w:adjustRightInd w:val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请贵单位按照以上问题，另行填写回执，并于202</w:t>
      </w:r>
      <w:r>
        <w:rPr>
          <w:rFonts w:ascii="仿宋_GB2312" w:eastAsia="仿宋_GB2312"/>
        </w:rPr>
        <w:t>3</w:t>
      </w:r>
      <w:r>
        <w:rPr>
          <w:rFonts w:ascii="仿宋_GB2312" w:eastAsia="仿宋_GB2312" w:hint="eastAsia"/>
        </w:rPr>
        <w:t>年</w:t>
      </w:r>
      <w:r>
        <w:rPr>
          <w:rFonts w:ascii="仿宋_GB2312" w:eastAsia="仿宋_GB2312"/>
        </w:rPr>
        <w:t>12</w:t>
      </w:r>
      <w:r>
        <w:rPr>
          <w:rFonts w:ascii="仿宋_GB2312" w:eastAsia="仿宋_GB2312" w:hint="eastAsia"/>
        </w:rPr>
        <w:t>月</w:t>
      </w:r>
      <w:r w:rsidR="00356D30">
        <w:rPr>
          <w:rFonts w:ascii="仿宋_GB2312" w:eastAsia="仿宋_GB2312"/>
        </w:rPr>
        <w:t>15</w:t>
      </w:r>
      <w:bookmarkStart w:id="0" w:name="_GoBack"/>
      <w:bookmarkEnd w:id="0"/>
      <w:r>
        <w:rPr>
          <w:rFonts w:ascii="仿宋_GB2312" w:eastAsia="仿宋_GB2312" w:hint="eastAsia"/>
        </w:rPr>
        <w:t>日前发送回执至</w:t>
      </w:r>
      <w:hyperlink r:id="rId5" w:history="1">
        <w:r>
          <w:rPr>
            <w:rStyle w:val="a9"/>
            <w:rFonts w:ascii="仿宋_GB2312" w:eastAsia="仿宋_GB2312" w:hint="eastAsia"/>
          </w:rPr>
          <w:t>smq1234567@163.com</w:t>
        </w:r>
      </w:hyperlink>
      <w:r>
        <w:rPr>
          <w:rFonts w:ascii="仿宋_GB2312" w:eastAsia="仿宋_GB2312" w:hint="eastAsia"/>
        </w:rPr>
        <w:t>。</w:t>
      </w:r>
    </w:p>
    <w:p w:rsidR="00311292" w:rsidRDefault="00E3020F">
      <w:pPr>
        <w:autoSpaceDE w:val="0"/>
        <w:autoSpaceDN w:val="0"/>
        <w:adjustRightInd w:val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联系人：</w:t>
      </w:r>
      <w:proofErr w:type="gramStart"/>
      <w:r>
        <w:rPr>
          <w:rFonts w:ascii="仿宋_GB2312" w:eastAsia="仿宋_GB2312" w:hint="eastAsia"/>
        </w:rPr>
        <w:t>徐董育</w:t>
      </w:r>
      <w:proofErr w:type="gramEnd"/>
    </w:p>
    <w:p w:rsidR="00311292" w:rsidRDefault="00E3020F">
      <w:pPr>
        <w:autoSpaceDE w:val="0"/>
        <w:autoSpaceDN w:val="0"/>
        <w:adjustRightInd w:val="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联系方式：电话：0755-81394688-50404；邮箱：</w:t>
      </w:r>
      <w:hyperlink r:id="rId6" w:history="1">
        <w:r>
          <w:rPr>
            <w:rStyle w:val="a9"/>
            <w:rFonts w:ascii="仿宋_GB2312" w:eastAsia="仿宋_GB2312" w:hint="eastAsia"/>
          </w:rPr>
          <w:t>smq1234567@163.com</w:t>
        </w:r>
      </w:hyperlink>
      <w:r>
        <w:rPr>
          <w:rStyle w:val="a9"/>
          <w:rFonts w:ascii="仿宋_GB2312" w:eastAsia="仿宋_GB2312" w:hint="eastAsia"/>
          <w:u w:val="none"/>
        </w:rPr>
        <w:t>。</w:t>
      </w:r>
    </w:p>
    <w:p w:rsidR="00311292" w:rsidRDefault="00E3020F">
      <w:pPr>
        <w:autoSpaceDE w:val="0"/>
        <w:autoSpaceDN w:val="0"/>
        <w:adjustRightInd w:val="0"/>
        <w:ind w:firstLineChars="200" w:firstLine="420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深圳市计量质量检测研究院</w:t>
      </w:r>
    </w:p>
    <w:p w:rsidR="00311292" w:rsidRDefault="00E3020F">
      <w:pPr>
        <w:autoSpaceDE w:val="0"/>
        <w:autoSpaceDN w:val="0"/>
        <w:adjustRightInd w:val="0"/>
        <w:ind w:firstLineChars="200" w:firstLine="420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202</w:t>
      </w:r>
      <w:r>
        <w:rPr>
          <w:rFonts w:ascii="仿宋_GB2312" w:eastAsia="仿宋_GB2312"/>
        </w:rPr>
        <w:t>3</w:t>
      </w:r>
      <w:r>
        <w:rPr>
          <w:rFonts w:ascii="仿宋_GB2312" w:eastAsia="仿宋_GB2312" w:hint="eastAsia"/>
        </w:rPr>
        <w:t>年1</w:t>
      </w:r>
      <w:r>
        <w:rPr>
          <w:rFonts w:ascii="仿宋_GB2312" w:eastAsia="仿宋_GB2312"/>
        </w:rPr>
        <w:t>2</w:t>
      </w:r>
      <w:r>
        <w:rPr>
          <w:rFonts w:ascii="仿宋_GB2312" w:eastAsia="仿宋_GB2312" w:hint="eastAsia"/>
        </w:rPr>
        <w:t>月1日</w:t>
      </w:r>
    </w:p>
    <w:p w:rsidR="00311292" w:rsidRDefault="00311292">
      <w:pPr>
        <w:autoSpaceDE w:val="0"/>
        <w:autoSpaceDN w:val="0"/>
        <w:adjustRightInd w:val="0"/>
        <w:rPr>
          <w:rFonts w:ascii="仿宋_GB2312" w:eastAsia="仿宋_GB2312"/>
        </w:rPr>
      </w:pPr>
    </w:p>
    <w:p w:rsidR="004352F6" w:rsidRDefault="004352F6">
      <w:pPr>
        <w:autoSpaceDE w:val="0"/>
        <w:autoSpaceDN w:val="0"/>
        <w:adjustRightInd w:val="0"/>
        <w:rPr>
          <w:rFonts w:ascii="仿宋_GB2312" w:eastAsia="仿宋_GB2312"/>
        </w:rPr>
      </w:pPr>
    </w:p>
    <w:p w:rsidR="004352F6" w:rsidRDefault="004352F6">
      <w:pPr>
        <w:autoSpaceDE w:val="0"/>
        <w:autoSpaceDN w:val="0"/>
        <w:adjustRightInd w:val="0"/>
        <w:rPr>
          <w:rFonts w:ascii="仿宋_GB2312" w:eastAsia="仿宋_GB2312"/>
        </w:rPr>
      </w:pPr>
    </w:p>
    <w:p w:rsidR="001121AB" w:rsidRDefault="001121AB">
      <w:pPr>
        <w:autoSpaceDE w:val="0"/>
        <w:autoSpaceDN w:val="0"/>
        <w:adjustRightInd w:val="0"/>
        <w:rPr>
          <w:rFonts w:asciiTheme="minorEastAsia" w:hAnsiTheme="minorEastAsia"/>
          <w:szCs w:val="21"/>
        </w:rPr>
      </w:pPr>
    </w:p>
    <w:p w:rsidR="004352F6" w:rsidRPr="009E30D8" w:rsidRDefault="004352F6">
      <w:pPr>
        <w:autoSpaceDE w:val="0"/>
        <w:autoSpaceDN w:val="0"/>
        <w:adjustRightInd w:val="0"/>
        <w:rPr>
          <w:rFonts w:asciiTheme="minorEastAsia" w:hAnsiTheme="minorEastAsia"/>
          <w:szCs w:val="21"/>
        </w:rPr>
      </w:pPr>
      <w:r w:rsidRPr="009E30D8">
        <w:rPr>
          <w:rFonts w:asciiTheme="minorEastAsia" w:hAnsiTheme="minorEastAsia" w:hint="eastAsia"/>
          <w:szCs w:val="21"/>
        </w:rPr>
        <w:t>附件：问题反馈：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592"/>
      </w:tblGrid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1.对现行SZJG 54-2017标准适用范围的修订建议。</w:t>
            </w:r>
          </w:p>
        </w:tc>
      </w:tr>
      <w:tr w:rsidR="00E3020F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E3020F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E3020F" w:rsidRPr="009E30D8" w:rsidRDefault="00E3020F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2.对挥发性有机化合物（VOC）定义的修订建议。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046CD3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3.对涂料分类的修订建议。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4.对有害物质项目的增减和限值的修订建议（若引用国内外标准，请附上来源）。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5.对禁用物质设定的建议（若引用国内外标准，请附上来源）。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6.对检测方法的修订建议。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7.不同种类涂料（参考SZJG 54-2017产品分类）的VOC含量的大致范围（仅生产企业填写）。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8.低VOC化、水性化涂料的技术瓶颈。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9.对特殊应用场景的涂料的豁免建议（从使用量较小、性能要求高等角度考虑）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6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10.工业涂料相关现行环保强制性国家标准（例如GB 30981-2020等）的意见及建议（分类、检测方法、限值等），并说明原因。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11.可参考的现行欧美等发达国家的环保标准的推荐。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12.可参考的知名企业环保要求的推荐。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13.基于新污染物治理的要求，本标准技术角度如何设定支持。</w:t>
            </w:r>
          </w:p>
        </w:tc>
      </w:tr>
      <w:tr w:rsidR="004352F6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  <w:hideMark/>
          </w:tcPr>
          <w:p w:rsidR="004352F6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  <w:hideMark/>
          </w:tcPr>
          <w:p w:rsidR="004352F6" w:rsidRPr="009E30D8" w:rsidRDefault="004352F6" w:rsidP="004352F6">
            <w:pPr>
              <w:widowControl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71595" w:rsidRPr="009E30D8" w:rsidRDefault="00471595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14.对标准的修订的其它意见及建议。</w:t>
            </w:r>
          </w:p>
        </w:tc>
      </w:tr>
      <w:tr w:rsidR="00301230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</w:tcPr>
          <w:p w:rsidR="00301230" w:rsidRPr="009E30D8" w:rsidRDefault="00E3020F" w:rsidP="004D713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</w:tcPr>
          <w:p w:rsidR="00301230" w:rsidRPr="009E30D8" w:rsidRDefault="00301230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71595" w:rsidRPr="009E30D8" w:rsidTr="00471595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71595" w:rsidRPr="009E30D8" w:rsidRDefault="00471595" w:rsidP="009239D1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  <w:r w:rsidRPr="009E30D8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5.</w:t>
            </w: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是否有意向参编？</w:t>
            </w:r>
            <w:proofErr w:type="gramStart"/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若参</w:t>
            </w:r>
            <w:proofErr w:type="gramEnd"/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编</w:t>
            </w:r>
            <w:r w:rsidR="00896DE2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r w:rsidR="009239D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可为标准编写提供支持的</w:t>
            </w:r>
            <w:r w:rsidRPr="009E30D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内容及明细（可在技术、测试、实验设备、资金等方面）。</w:t>
            </w:r>
          </w:p>
        </w:tc>
      </w:tr>
      <w:tr w:rsidR="00725169" w:rsidRPr="009E30D8" w:rsidTr="004D7138">
        <w:trPr>
          <w:trHeight w:val="300"/>
        </w:trPr>
        <w:tc>
          <w:tcPr>
            <w:tcW w:w="424" w:type="pct"/>
            <w:shd w:val="clear" w:color="auto" w:fill="auto"/>
            <w:vAlign w:val="center"/>
          </w:tcPr>
          <w:p w:rsidR="00725169" w:rsidRPr="009E30D8" w:rsidRDefault="001C30D1" w:rsidP="004D7138">
            <w:pPr>
              <w:widowControl/>
              <w:jc w:val="left"/>
              <w:rPr>
                <w:rFonts w:asciiTheme="minorEastAsia" w:hAnsiTheme="minorEastAsia" w:cs="Arial" w:hint="eastAsia"/>
                <w:szCs w:val="21"/>
              </w:rPr>
            </w:pPr>
            <w:r w:rsidRPr="009E30D8">
              <w:rPr>
                <w:rFonts w:asciiTheme="minorEastAsia" w:hAnsiTheme="minorEastAsia" w:cs="Arial" w:hint="eastAsia"/>
                <w:szCs w:val="21"/>
              </w:rPr>
              <w:t>意见内容</w:t>
            </w:r>
          </w:p>
        </w:tc>
        <w:tc>
          <w:tcPr>
            <w:tcW w:w="4576" w:type="pct"/>
            <w:shd w:val="clear" w:color="auto" w:fill="auto"/>
            <w:vAlign w:val="center"/>
          </w:tcPr>
          <w:p w:rsidR="00725169" w:rsidRPr="009E30D8" w:rsidRDefault="00725169" w:rsidP="004352F6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</w:tbl>
    <w:p w:rsidR="004352F6" w:rsidRPr="006657E8" w:rsidRDefault="004352F6">
      <w:pPr>
        <w:autoSpaceDE w:val="0"/>
        <w:autoSpaceDN w:val="0"/>
        <w:adjustRightInd w:val="0"/>
        <w:rPr>
          <w:rFonts w:asciiTheme="minorEastAsia" w:hAnsiTheme="minorEastAsia"/>
        </w:rPr>
      </w:pPr>
    </w:p>
    <w:p w:rsidR="0022745D" w:rsidRPr="006657E8" w:rsidRDefault="0022745D">
      <w:pPr>
        <w:autoSpaceDE w:val="0"/>
        <w:autoSpaceDN w:val="0"/>
        <w:adjustRightInd w:val="0"/>
        <w:rPr>
          <w:rFonts w:asciiTheme="minorEastAsia" w:hAnsiTheme="minorEastAsia"/>
        </w:rPr>
      </w:pPr>
      <w:r w:rsidRPr="006657E8">
        <w:rPr>
          <w:rFonts w:asciiTheme="minorEastAsia" w:hAnsiTheme="minorEastAsia" w:hint="eastAsia"/>
        </w:rPr>
        <w:t>填报人</w:t>
      </w:r>
      <w:r w:rsidR="00835248" w:rsidRPr="006657E8">
        <w:rPr>
          <w:rFonts w:asciiTheme="minorEastAsia" w:hAnsiTheme="minorEastAsia" w:hint="eastAsia"/>
        </w:rPr>
        <w:t>及职务</w:t>
      </w:r>
      <w:r w:rsidRPr="006657E8">
        <w:rPr>
          <w:rFonts w:asciiTheme="minorEastAsia" w:hAnsiTheme="minorEastAsia" w:hint="eastAsia"/>
        </w:rPr>
        <w:t>：</w:t>
      </w:r>
    </w:p>
    <w:p w:rsidR="00835248" w:rsidRPr="006657E8" w:rsidRDefault="00835248">
      <w:pPr>
        <w:autoSpaceDE w:val="0"/>
        <w:autoSpaceDN w:val="0"/>
        <w:adjustRightInd w:val="0"/>
        <w:rPr>
          <w:rFonts w:asciiTheme="minorEastAsia" w:hAnsiTheme="minorEastAsia" w:hint="eastAsia"/>
        </w:rPr>
      </w:pPr>
      <w:r w:rsidRPr="006657E8">
        <w:rPr>
          <w:rFonts w:asciiTheme="minorEastAsia" w:hAnsiTheme="minorEastAsia" w:hint="eastAsia"/>
        </w:rPr>
        <w:t>填报联系人：</w:t>
      </w:r>
    </w:p>
    <w:p w:rsidR="006657E8" w:rsidRDefault="0022745D">
      <w:pPr>
        <w:autoSpaceDE w:val="0"/>
        <w:autoSpaceDN w:val="0"/>
        <w:adjustRightInd w:val="0"/>
        <w:rPr>
          <w:rFonts w:asciiTheme="minorEastAsia" w:hAnsiTheme="minorEastAsia"/>
        </w:rPr>
      </w:pPr>
      <w:r w:rsidRPr="006657E8">
        <w:rPr>
          <w:rFonts w:asciiTheme="minorEastAsia" w:hAnsiTheme="minorEastAsia" w:hint="eastAsia"/>
        </w:rPr>
        <w:t>填报单位：</w:t>
      </w:r>
    </w:p>
    <w:p w:rsidR="0022745D" w:rsidRPr="006657E8" w:rsidRDefault="007C171A">
      <w:pPr>
        <w:autoSpaceDE w:val="0"/>
        <w:autoSpaceDN w:val="0"/>
        <w:adjustRightInd w:val="0"/>
        <w:rPr>
          <w:rFonts w:asciiTheme="minorEastAsia" w:hAnsiTheme="minorEastAsia"/>
        </w:rPr>
      </w:pPr>
      <w:r w:rsidRPr="006657E8">
        <w:rPr>
          <w:rFonts w:asciiTheme="minorEastAsia" w:hAnsiTheme="minorEastAsia" w:hint="eastAsia"/>
        </w:rPr>
        <w:t>填报日期：</w:t>
      </w:r>
    </w:p>
    <w:p w:rsidR="0022745D" w:rsidRPr="004352F6" w:rsidRDefault="0022745D">
      <w:pPr>
        <w:autoSpaceDE w:val="0"/>
        <w:autoSpaceDN w:val="0"/>
        <w:adjustRightInd w:val="0"/>
        <w:rPr>
          <w:rFonts w:ascii="仿宋_GB2312" w:eastAsia="仿宋_GB2312" w:hint="eastAsia"/>
        </w:rPr>
      </w:pPr>
    </w:p>
    <w:sectPr w:rsidR="0022745D" w:rsidRPr="00435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jNGVlNmU4NzI5Y2FkMDY1YzEwNDAyMWI0MGFhYTIifQ=="/>
  </w:docVars>
  <w:rsids>
    <w:rsidRoot w:val="00722764"/>
    <w:rsid w:val="00002919"/>
    <w:rsid w:val="00036D07"/>
    <w:rsid w:val="00041C2E"/>
    <w:rsid w:val="00046CD3"/>
    <w:rsid w:val="00061DC1"/>
    <w:rsid w:val="00062E28"/>
    <w:rsid w:val="0006452A"/>
    <w:rsid w:val="000722A6"/>
    <w:rsid w:val="00084EE5"/>
    <w:rsid w:val="000A17D5"/>
    <w:rsid w:val="000A548F"/>
    <w:rsid w:val="000B0473"/>
    <w:rsid w:val="000F4313"/>
    <w:rsid w:val="00111018"/>
    <w:rsid w:val="001121AB"/>
    <w:rsid w:val="00113318"/>
    <w:rsid w:val="0012717E"/>
    <w:rsid w:val="00133C1E"/>
    <w:rsid w:val="001521C9"/>
    <w:rsid w:val="00163EA4"/>
    <w:rsid w:val="00164AD8"/>
    <w:rsid w:val="00184D79"/>
    <w:rsid w:val="001952EC"/>
    <w:rsid w:val="001C30D1"/>
    <w:rsid w:val="001C5E3F"/>
    <w:rsid w:val="001C78B6"/>
    <w:rsid w:val="001D0A6A"/>
    <w:rsid w:val="0022031B"/>
    <w:rsid w:val="0022745D"/>
    <w:rsid w:val="00274328"/>
    <w:rsid w:val="002F7CDD"/>
    <w:rsid w:val="00301230"/>
    <w:rsid w:val="00301BCB"/>
    <w:rsid w:val="00311292"/>
    <w:rsid w:val="00356D30"/>
    <w:rsid w:val="0036575C"/>
    <w:rsid w:val="00384EB9"/>
    <w:rsid w:val="003850E9"/>
    <w:rsid w:val="003B6CFC"/>
    <w:rsid w:val="003C02D5"/>
    <w:rsid w:val="003F2834"/>
    <w:rsid w:val="003F2E22"/>
    <w:rsid w:val="003F3586"/>
    <w:rsid w:val="003F781F"/>
    <w:rsid w:val="00404E9B"/>
    <w:rsid w:val="00406F18"/>
    <w:rsid w:val="00424FB8"/>
    <w:rsid w:val="00425BDC"/>
    <w:rsid w:val="004264B2"/>
    <w:rsid w:val="0042796A"/>
    <w:rsid w:val="004352F6"/>
    <w:rsid w:val="00471595"/>
    <w:rsid w:val="004A6683"/>
    <w:rsid w:val="004C33B2"/>
    <w:rsid w:val="004D7138"/>
    <w:rsid w:val="004F084F"/>
    <w:rsid w:val="00516B8D"/>
    <w:rsid w:val="00534343"/>
    <w:rsid w:val="00561DDF"/>
    <w:rsid w:val="00570FCA"/>
    <w:rsid w:val="005749E5"/>
    <w:rsid w:val="00584E1B"/>
    <w:rsid w:val="00596D82"/>
    <w:rsid w:val="0059793B"/>
    <w:rsid w:val="005A0612"/>
    <w:rsid w:val="005D32AB"/>
    <w:rsid w:val="005E20E9"/>
    <w:rsid w:val="005F3EEC"/>
    <w:rsid w:val="005F651F"/>
    <w:rsid w:val="00603044"/>
    <w:rsid w:val="00613F19"/>
    <w:rsid w:val="006204B9"/>
    <w:rsid w:val="00633C54"/>
    <w:rsid w:val="006657E8"/>
    <w:rsid w:val="006712E0"/>
    <w:rsid w:val="00693DCF"/>
    <w:rsid w:val="006A76A8"/>
    <w:rsid w:val="006C25C9"/>
    <w:rsid w:val="006C73D4"/>
    <w:rsid w:val="006E6DBE"/>
    <w:rsid w:val="00702232"/>
    <w:rsid w:val="00703BDA"/>
    <w:rsid w:val="00705DF0"/>
    <w:rsid w:val="00722764"/>
    <w:rsid w:val="0072330D"/>
    <w:rsid w:val="00725169"/>
    <w:rsid w:val="00752CE8"/>
    <w:rsid w:val="007716FF"/>
    <w:rsid w:val="00775350"/>
    <w:rsid w:val="00792D2C"/>
    <w:rsid w:val="007A28C5"/>
    <w:rsid w:val="007C171A"/>
    <w:rsid w:val="007C432C"/>
    <w:rsid w:val="007D6B08"/>
    <w:rsid w:val="007E3B92"/>
    <w:rsid w:val="00835248"/>
    <w:rsid w:val="00835640"/>
    <w:rsid w:val="008404C2"/>
    <w:rsid w:val="008429FF"/>
    <w:rsid w:val="00871807"/>
    <w:rsid w:val="008760D9"/>
    <w:rsid w:val="008851A7"/>
    <w:rsid w:val="0089172A"/>
    <w:rsid w:val="00896DE2"/>
    <w:rsid w:val="008C217E"/>
    <w:rsid w:val="008C2710"/>
    <w:rsid w:val="008C5AB6"/>
    <w:rsid w:val="008C5E45"/>
    <w:rsid w:val="008E4F36"/>
    <w:rsid w:val="008F00A6"/>
    <w:rsid w:val="008F7A7F"/>
    <w:rsid w:val="009155B2"/>
    <w:rsid w:val="009239D1"/>
    <w:rsid w:val="0092444F"/>
    <w:rsid w:val="009258D7"/>
    <w:rsid w:val="00934A5C"/>
    <w:rsid w:val="009436E8"/>
    <w:rsid w:val="00945149"/>
    <w:rsid w:val="00975C47"/>
    <w:rsid w:val="009E30D8"/>
    <w:rsid w:val="00A00E26"/>
    <w:rsid w:val="00A169AD"/>
    <w:rsid w:val="00A34FE9"/>
    <w:rsid w:val="00A36647"/>
    <w:rsid w:val="00A40C20"/>
    <w:rsid w:val="00A579A5"/>
    <w:rsid w:val="00A670E6"/>
    <w:rsid w:val="00AB0DE0"/>
    <w:rsid w:val="00AB3E94"/>
    <w:rsid w:val="00AD18C8"/>
    <w:rsid w:val="00AD5178"/>
    <w:rsid w:val="00AE0BC5"/>
    <w:rsid w:val="00AF2CAD"/>
    <w:rsid w:val="00B17A6A"/>
    <w:rsid w:val="00B3734A"/>
    <w:rsid w:val="00B661D8"/>
    <w:rsid w:val="00B72D25"/>
    <w:rsid w:val="00BA2D06"/>
    <w:rsid w:val="00BC7B63"/>
    <w:rsid w:val="00BE6E53"/>
    <w:rsid w:val="00BE7EF3"/>
    <w:rsid w:val="00BE7F6B"/>
    <w:rsid w:val="00C03B2C"/>
    <w:rsid w:val="00C06CF8"/>
    <w:rsid w:val="00C504DF"/>
    <w:rsid w:val="00C671C2"/>
    <w:rsid w:val="00C929C5"/>
    <w:rsid w:val="00CD0622"/>
    <w:rsid w:val="00CD5B8C"/>
    <w:rsid w:val="00D00C54"/>
    <w:rsid w:val="00D52A13"/>
    <w:rsid w:val="00D82F3F"/>
    <w:rsid w:val="00D85267"/>
    <w:rsid w:val="00D90B46"/>
    <w:rsid w:val="00DA2AD4"/>
    <w:rsid w:val="00DB5383"/>
    <w:rsid w:val="00DE085F"/>
    <w:rsid w:val="00DE0B05"/>
    <w:rsid w:val="00DE5461"/>
    <w:rsid w:val="00DF2A65"/>
    <w:rsid w:val="00E04C60"/>
    <w:rsid w:val="00E100C3"/>
    <w:rsid w:val="00E1349C"/>
    <w:rsid w:val="00E3020F"/>
    <w:rsid w:val="00E36199"/>
    <w:rsid w:val="00E510ED"/>
    <w:rsid w:val="00E570D1"/>
    <w:rsid w:val="00E629D4"/>
    <w:rsid w:val="00E92101"/>
    <w:rsid w:val="00ED18B1"/>
    <w:rsid w:val="00ED741E"/>
    <w:rsid w:val="00F03D8E"/>
    <w:rsid w:val="00F04548"/>
    <w:rsid w:val="00F16F12"/>
    <w:rsid w:val="00F30D8B"/>
    <w:rsid w:val="00F67BF0"/>
    <w:rsid w:val="00F917F5"/>
    <w:rsid w:val="00F96625"/>
    <w:rsid w:val="00FA42BA"/>
    <w:rsid w:val="00FA5DA3"/>
    <w:rsid w:val="00FA7EFA"/>
    <w:rsid w:val="00FC4228"/>
    <w:rsid w:val="00FC5381"/>
    <w:rsid w:val="0E0C6F95"/>
    <w:rsid w:val="42FF2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9D0FA"/>
  <w15:docId w15:val="{017096EC-11F4-436E-957F-09150306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mq1234567@163.com" TargetMode="External"/><Relationship Id="rId5" Type="http://schemas.openxmlformats.org/officeDocument/2006/relationships/hyperlink" Target="mailto:smq1234567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073E4-5D4F-4A54-AB65-CB069BFDB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255</Words>
  <Characters>1460</Characters>
  <Application>Microsoft Office Word</Application>
  <DocSecurity>0</DocSecurity>
  <Lines>12</Lines>
  <Paragraphs>3</Paragraphs>
  <ScaleCrop>false</ScaleCrop>
  <Company>WORKGROUP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Windows8</cp:lastModifiedBy>
  <cp:revision>75</cp:revision>
  <cp:lastPrinted>2023-12-01T04:41:00Z</cp:lastPrinted>
  <dcterms:created xsi:type="dcterms:W3CDTF">2023-11-07T07:44:00Z</dcterms:created>
  <dcterms:modified xsi:type="dcterms:W3CDTF">2023-12-01T05:59:00Z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83C6402F5D074A8E9DC485B213007C05_12</vt:lpwstr>
  </property>
</Properties>
</file>